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D3" w:rsidRPr="005C559F" w:rsidRDefault="006B0CD3" w:rsidP="006B0C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44"/>
          <w:szCs w:val="44"/>
        </w:rPr>
      </w:pPr>
      <w:r w:rsidRPr="005C559F">
        <w:rPr>
          <w:rFonts w:ascii="Arial" w:hAnsi="Arial" w:cs="Arial"/>
          <w:b/>
          <w:bCs/>
          <w:color w:val="006C92"/>
          <w:sz w:val="44"/>
          <w:szCs w:val="44"/>
        </w:rPr>
        <w:t>blind-sehbehindert</w:t>
      </w:r>
    </w:p>
    <w:p w:rsidR="006B0CD3" w:rsidRDefault="006B0CD3" w:rsidP="006B0C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5C559F">
        <w:rPr>
          <w:rFonts w:ascii="Arial" w:hAnsi="Arial" w:cs="Arial"/>
          <w:b/>
          <w:bCs/>
          <w:color w:val="006C92"/>
          <w:szCs w:val="24"/>
        </w:rPr>
        <w:t>Die Fachzeitschrift des Verbandes für Blinden- und Sehbehindertenpädagogik e. V.</w:t>
      </w:r>
    </w:p>
    <w:p w:rsidR="008F0D6D" w:rsidRDefault="00AC5770" w:rsidP="006B0C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B3004D"/>
          <w:sz w:val="36"/>
          <w:szCs w:val="36"/>
        </w:rPr>
      </w:pPr>
      <w:r>
        <w:rPr>
          <w:rFonts w:ascii="Arial" w:hAnsi="Arial" w:cs="Arial"/>
          <w:b/>
          <w:bCs/>
          <w:color w:val="B3004D"/>
          <w:sz w:val="36"/>
          <w:szCs w:val="36"/>
        </w:rPr>
        <w:t>141. Jahrgang/Ausgabe 4</w:t>
      </w:r>
      <w:bookmarkStart w:id="0" w:name="_GoBack"/>
      <w:bookmarkEnd w:id="0"/>
      <w:r w:rsidR="006B0CD3" w:rsidRPr="005C559F">
        <w:rPr>
          <w:rFonts w:ascii="Arial" w:hAnsi="Arial" w:cs="Arial"/>
          <w:b/>
          <w:bCs/>
          <w:color w:val="B3004D"/>
          <w:sz w:val="36"/>
          <w:szCs w:val="36"/>
        </w:rPr>
        <w:t>/2021</w:t>
      </w:r>
    </w:p>
    <w:p w:rsidR="006B0CD3" w:rsidRDefault="006B0CD3" w:rsidP="006B0C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</w:p>
    <w:p w:rsidR="008F0D6D" w:rsidRPr="00312115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32"/>
          <w:szCs w:val="32"/>
        </w:rPr>
      </w:pPr>
      <w:r w:rsidRPr="00312115">
        <w:rPr>
          <w:rFonts w:ascii="Arial" w:hAnsi="Arial" w:cs="Arial"/>
          <w:b/>
          <w:bCs/>
          <w:color w:val="006C92"/>
          <w:sz w:val="32"/>
          <w:szCs w:val="32"/>
        </w:rPr>
        <w:t>Inhalt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Editorial</w:t>
      </w:r>
      <w:r w:rsidRPr="008F0D6D">
        <w:rPr>
          <w:rFonts w:ascii="Arial" w:hAnsi="Arial" w:cs="Arial"/>
          <w:color w:val="006C92"/>
          <w:sz w:val="24"/>
          <w:szCs w:val="24"/>
        </w:rPr>
        <w:tab/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329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(Franz-Josef Beck)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Blinden- und Sehbehindertenpädagogik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(Wie) kann Schulassistenz Kinder und Jugendliche mit Beeinträchtigung des Sehens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in der inklusiven Schule unterstützen? Herausforderungen und Chancen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331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(Florian Schindler, Maike Schindler)</w:t>
      </w:r>
    </w:p>
    <w:p w:rsid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„Zukunft der Brailleschrift“: Grundlegende Erkenntnisse und notwendige Schlussfolgerungen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 xml:space="preserve">für die Praxis aus der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ZuBra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>-Studie; Teil 2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338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(Ursula Hofer, Markus Lang, Fabian Winter)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Praxisberichte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Minigolf im Sportunterricht mit Schülerinnen und Schülern mit dem Förderschwerpunkt Sehen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354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 xml:space="preserve">(Felix </w:t>
      </w:r>
      <w:proofErr w:type="spellStart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Oldörp</w:t>
      </w:r>
      <w:proofErr w:type="spellEnd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VBS-Fortbildungskalender</w:t>
      </w:r>
      <w:r w:rsidRPr="008F0D6D">
        <w:rPr>
          <w:rFonts w:ascii="Arial" w:hAnsi="Arial" w:cs="Arial"/>
          <w:color w:val="006C92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361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Tagungsberichte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„Manchmal ist der Körper eines Menschen so krank, dass er es nicht mehr schafft, weiterzuleben“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Online-(Mini)Tagung zum Thema „Umgang mit Trauer und Tod“ der AG „Menschen mit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komplexen Beeinträchtigungen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365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(Juliane Engelhardt, Bärbel Wasser)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 xml:space="preserve">Bericht vom Arbeitskreis Medienzentren 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367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(Bärbel Beyer)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In eigener Sache: Nach 22 Jahren - Abschied vom Arbeitskreis Medienzentren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369</w:t>
      </w:r>
    </w:p>
    <w:p w:rsidR="00D779B5" w:rsidRPr="008F0D6D" w:rsidRDefault="008F0D6D" w:rsidP="00312115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(Franz-Josef Beck)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Allgemeine Informationen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 xml:space="preserve">Das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Lormen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 xml:space="preserve"> oder Heinrich Landesmann (1821-1902) –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Wegbereiter einer taubblindenspezifischen Kommunikation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370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 xml:space="preserve">(Bettina </w:t>
      </w:r>
      <w:proofErr w:type="spellStart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Trissia</w:t>
      </w:r>
      <w:proofErr w:type="spellEnd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Berufsfachschulen des Gesundheitswesens erhalten und stärken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375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(Wolfgang Oster)</w:t>
      </w:r>
    </w:p>
    <w:p w:rsid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6C92"/>
          <w:sz w:val="24"/>
          <w:szCs w:val="24"/>
        </w:rPr>
        <w:t>Buchvorstellung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Kinder mit Behinderungen in inklusiven Kindertagesstätten</w:t>
      </w:r>
      <w:r w:rsidRPr="008F0D6D">
        <w:rPr>
          <w:rFonts w:ascii="Arial" w:hAnsi="Arial" w:cs="Arial"/>
          <w:color w:val="000000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377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F0D6D">
        <w:rPr>
          <w:rFonts w:ascii="Arial" w:hAnsi="Arial" w:cs="Arial"/>
          <w:i/>
          <w:iCs/>
          <w:color w:val="000000"/>
          <w:sz w:val="24"/>
          <w:szCs w:val="24"/>
        </w:rPr>
        <w:t xml:space="preserve">(Franziska </w:t>
      </w:r>
      <w:proofErr w:type="spellStart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Tellkamp</w:t>
      </w:r>
      <w:proofErr w:type="spellEnd"/>
      <w:r w:rsidRPr="008F0D6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Abbildungs- und Tabellenverzeichnis</w:t>
      </w:r>
      <w:r w:rsidRPr="008F0D6D">
        <w:rPr>
          <w:rFonts w:ascii="Arial" w:hAnsi="Arial" w:cs="Arial"/>
          <w:color w:val="006C92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379</w:t>
      </w:r>
    </w:p>
    <w:p w:rsidR="008F0D6D" w:rsidRDefault="008F0D6D" w:rsidP="00312115">
      <w:pPr>
        <w:spacing w:line="276" w:lineRule="auto"/>
        <w:rPr>
          <w:rFonts w:ascii="Arial" w:hAnsi="Arial" w:cs="Arial"/>
          <w:color w:val="006C92"/>
          <w:sz w:val="24"/>
          <w:szCs w:val="24"/>
        </w:rPr>
      </w:pPr>
    </w:p>
    <w:p w:rsidR="008F0D6D" w:rsidRDefault="008F0D6D" w:rsidP="00312115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  <w:r w:rsidRPr="008F0D6D">
        <w:rPr>
          <w:rFonts w:ascii="Arial" w:hAnsi="Arial" w:cs="Arial"/>
          <w:b/>
          <w:color w:val="006C92"/>
          <w:sz w:val="24"/>
          <w:szCs w:val="24"/>
        </w:rPr>
        <w:t>Impressum</w:t>
      </w:r>
      <w:r w:rsidRPr="008F0D6D">
        <w:rPr>
          <w:rFonts w:ascii="Arial" w:hAnsi="Arial" w:cs="Arial"/>
          <w:color w:val="006C92"/>
          <w:sz w:val="24"/>
          <w:szCs w:val="24"/>
        </w:rPr>
        <w:tab/>
      </w:r>
      <w:r w:rsidRPr="008F0D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384</w:t>
      </w:r>
    </w:p>
    <w:p w:rsidR="00312115" w:rsidRDefault="00312115" w:rsidP="00312115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6C92"/>
          <w:sz w:val="24"/>
          <w:szCs w:val="24"/>
        </w:rPr>
      </w:pPr>
    </w:p>
    <w:p w:rsidR="008F0D6D" w:rsidRDefault="008F0D6D" w:rsidP="0031211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8F0D6D" w:rsidRPr="00312115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32"/>
          <w:szCs w:val="32"/>
        </w:rPr>
      </w:pPr>
      <w:r w:rsidRPr="00312115">
        <w:rPr>
          <w:rFonts w:ascii="Arial" w:hAnsi="Arial" w:cs="Arial"/>
          <w:b/>
          <w:bCs/>
          <w:color w:val="006C92"/>
          <w:sz w:val="32"/>
          <w:szCs w:val="32"/>
        </w:rPr>
        <w:t>Editorial</w:t>
      </w:r>
    </w:p>
    <w:p w:rsidR="008F0D6D" w:rsidRDefault="008F0D6D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Liebe Leserinnen, liebe Leser,</w:t>
      </w:r>
    </w:p>
    <w:p w:rsidR="00312115" w:rsidRPr="008F0D6D" w:rsidRDefault="00312115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in dieser Ausgabe finden Sie wieder Themen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aus dem Bereich der Blinden- und Sehbehindertenpädagogik.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Es erfreut uns, wenn auch relativ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wenig beachtete Themen aus unserem Spektrum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in unserer Zeitschrift veröffentlicht werden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können. Zeigt es doch auf, dass es interdisziplinär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mehr gibt, als vermutet werden könnte.</w:t>
      </w:r>
    </w:p>
    <w:p w:rsidR="008F0D6D" w:rsidRDefault="008F0D6D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In diesem Sinne wünschen wir Ihnen eine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entspannte und interessante Lektüre und einen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erfreulichen und optimistischen Jahreswechsel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in das Jahr 2022.</w:t>
      </w:r>
    </w:p>
    <w:p w:rsidR="00312115" w:rsidRPr="008F0D6D" w:rsidRDefault="00312115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Florian Schindler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und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Maike Schindler </w:t>
      </w:r>
      <w:r w:rsidRPr="008F0D6D">
        <w:rPr>
          <w:rFonts w:ascii="Arial" w:hAnsi="Arial" w:cs="Arial"/>
          <w:color w:val="000000"/>
          <w:sz w:val="24"/>
          <w:szCs w:val="24"/>
        </w:rPr>
        <w:t>legen in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ihrem Beitrag „(Wie) kann Schulassistenz Kinder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Jugendliche mit Beeinträchtigung des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Sehens in der inklusiven Schule unterstützen?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Herausforderungen und Chancen“ dar, was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Schulassistenzen aus den unterschiedlichen Bereichen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im Alltag zu leisten haben. Vor allem für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den Bereich Sehen zeigen sie, welche Aufgaben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Tätigkeiten in das Tätigkeitsprofil von Schulassistentinnen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-assistenten fallen und wie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potenziellen Problemfeldern, etwa im Bereich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der sozialen Teilhabe in Bezug auf schulbegleitete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Kinder und Jugendliche, begegnet werden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kann – auch im Sinne systemischer Veränderungen.</w:t>
      </w:r>
    </w:p>
    <w:p w:rsidR="008F0D6D" w:rsidRPr="008F0D6D" w:rsidRDefault="008F0D6D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 xml:space="preserve">Aufbauend auf den ersten Teil aus der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ZuBra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>-Studie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„Zukunft der Brailleschrift“, siehe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blind-sehbehindert 3-2021, zeigen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Ursula Hofer</w:t>
      </w:r>
      <w:r w:rsidRPr="008F0D6D">
        <w:rPr>
          <w:rFonts w:ascii="Arial" w:hAnsi="Arial" w:cs="Arial"/>
          <w:color w:val="000000"/>
          <w:sz w:val="24"/>
          <w:szCs w:val="24"/>
        </w:rPr>
        <w:t>,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Markus Lang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und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Fabian Winter </w:t>
      </w:r>
      <w:r w:rsidRPr="008F0D6D">
        <w:rPr>
          <w:rFonts w:ascii="Arial" w:hAnsi="Arial" w:cs="Arial"/>
          <w:color w:val="000000"/>
          <w:sz w:val="24"/>
          <w:szCs w:val="24"/>
        </w:rPr>
        <w:t>in Teil 2 didaktische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Erläuterungen und Fördervorschläge aus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der Studie auf, die praktische Anwendungen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ermöglichen. Der Aufbau und die Entwicklung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von Lese- und Schreibkompetenzen von Schülerinnen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Schülern mit Blindheit und hochgradiger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Sehbehinderung werden erklärt und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exemplarisch veranschaulicht. Die Konzepte sind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so gewählt, dass sie für kooperatives Arbeiten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einsetzbar sind, unabhängig davon, ob die Lernenden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in Braille- oder in Schwarzschrift lesen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schreiben. Sie sind grundsätzlich in allen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Schulformen umsetzbar und beziehen Angebote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für Lernende mit zusätzlichem Förderbedarf mit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ein.</w:t>
      </w:r>
    </w:p>
    <w:p w:rsidR="008F0D6D" w:rsidRPr="008F0D6D" w:rsidRDefault="008F0D6D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b/>
          <w:bCs/>
          <w:color w:val="006C92"/>
          <w:sz w:val="24"/>
          <w:szCs w:val="24"/>
        </w:rPr>
        <w:lastRenderedPageBreak/>
        <w:t xml:space="preserve">Felix </w:t>
      </w:r>
      <w:proofErr w:type="spellStart"/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Oldörp</w:t>
      </w:r>
      <w:proofErr w:type="spellEnd"/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legt im Beitrag „Minigolf im Sportunterricht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mit Schülerinnen und Schülern mit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dem Förderschwerpunkt Sehen“ dar, wie diese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visuell ausgerichtete Sportart auch für Menschen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mit Beeinträchtigungen des Sehens ausgeführt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werden kann.</w:t>
      </w:r>
    </w:p>
    <w:p w:rsidR="008F0D6D" w:rsidRPr="008F0D6D" w:rsidRDefault="008F0D6D" w:rsidP="00312115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Thomas Loscher </w:t>
      </w:r>
      <w:r w:rsidRPr="008F0D6D">
        <w:rPr>
          <w:rFonts w:ascii="Arial" w:hAnsi="Arial" w:cs="Arial"/>
          <w:color w:val="000000"/>
          <w:sz w:val="24"/>
          <w:szCs w:val="24"/>
        </w:rPr>
        <w:t>berichtet aus der Online-Tagung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der AG „Menschen mit komplexen Beeinträchtigungen“,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die dieses Mal „Umgang mit Trauer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Tod“ zum Thema hatte.</w:t>
      </w:r>
    </w:p>
    <w:p w:rsidR="008F0D6D" w:rsidRPr="008F0D6D" w:rsidRDefault="008F0D6D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Bärbel Beyer </w:t>
      </w:r>
      <w:r w:rsidRPr="008F0D6D">
        <w:rPr>
          <w:rFonts w:ascii="Arial" w:hAnsi="Arial" w:cs="Arial"/>
          <w:color w:val="000000"/>
          <w:sz w:val="24"/>
          <w:szCs w:val="24"/>
        </w:rPr>
        <w:t>berichtet von der Tagung des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Arbeitskreis Medienzentralen, die in der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blista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 xml:space="preserve"> in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Marburg stattgefunden hat.</w:t>
      </w:r>
    </w:p>
    <w:p w:rsidR="008F0D6D" w:rsidRPr="008F0D6D" w:rsidRDefault="008F0D6D" w:rsidP="0031211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Franz-Josef Beck </w:t>
      </w:r>
      <w:r w:rsidRPr="008F0D6D">
        <w:rPr>
          <w:rFonts w:ascii="Arial" w:hAnsi="Arial" w:cs="Arial"/>
          <w:color w:val="000000"/>
          <w:sz w:val="24"/>
          <w:szCs w:val="24"/>
        </w:rPr>
        <w:t>verabschiedet sich nach 22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Jahren Mitwirken mit eigenen Worten aus dem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Arbeitskreis.</w:t>
      </w:r>
    </w:p>
    <w:p w:rsidR="00312115" w:rsidRPr="00312115" w:rsidRDefault="008F0D6D" w:rsidP="0031211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F0D6D">
        <w:rPr>
          <w:rFonts w:ascii="Arial" w:hAnsi="Arial" w:cs="Arial"/>
          <w:color w:val="000000"/>
          <w:sz w:val="24"/>
          <w:szCs w:val="24"/>
        </w:rPr>
        <w:t>In diesem Jahr jährt sich der Geburtstag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Hieronymus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Lorms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>, der gebürtig Heinrich Landesmann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hieß, zum 200. Mal. Doch wer war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Hieronymus </w:t>
      </w:r>
      <w:proofErr w:type="spellStart"/>
      <w:r w:rsidRPr="008F0D6D">
        <w:rPr>
          <w:rFonts w:ascii="Arial" w:hAnsi="Arial" w:cs="Arial"/>
          <w:color w:val="000000"/>
          <w:sz w:val="24"/>
          <w:szCs w:val="24"/>
        </w:rPr>
        <w:t>Lorm</w:t>
      </w:r>
      <w:proofErr w:type="spellEnd"/>
      <w:r w:rsidRPr="008F0D6D">
        <w:rPr>
          <w:rFonts w:ascii="Arial" w:hAnsi="Arial" w:cs="Arial"/>
          <w:color w:val="000000"/>
          <w:sz w:val="24"/>
          <w:szCs w:val="24"/>
        </w:rPr>
        <w:t>, was machte ihn besonders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>und warum war er wichtig für die Taubblindenarbeit?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Bettina </w:t>
      </w:r>
      <w:proofErr w:type="spellStart"/>
      <w:r w:rsidRPr="008F0D6D">
        <w:rPr>
          <w:rFonts w:ascii="Arial" w:hAnsi="Arial" w:cs="Arial"/>
          <w:b/>
          <w:bCs/>
          <w:color w:val="006C92"/>
          <w:sz w:val="24"/>
          <w:szCs w:val="24"/>
        </w:rPr>
        <w:t>Trissia</w:t>
      </w:r>
      <w:proofErr w:type="spellEnd"/>
      <w:r w:rsidRPr="008F0D6D">
        <w:rPr>
          <w:rFonts w:ascii="Arial" w:hAnsi="Arial" w:cs="Arial"/>
          <w:b/>
          <w:bCs/>
          <w:color w:val="006C92"/>
          <w:sz w:val="24"/>
          <w:szCs w:val="24"/>
        </w:rPr>
        <w:t xml:space="preserve"> </w:t>
      </w:r>
      <w:r w:rsidRPr="008F0D6D">
        <w:rPr>
          <w:rFonts w:ascii="Arial" w:hAnsi="Arial" w:cs="Arial"/>
          <w:color w:val="000000"/>
          <w:sz w:val="24"/>
          <w:szCs w:val="24"/>
        </w:rPr>
        <w:t xml:space="preserve">zeigt </w:t>
      </w:r>
      <w:r w:rsidRPr="00312115">
        <w:rPr>
          <w:rFonts w:ascii="Arial" w:hAnsi="Arial" w:cs="Arial"/>
          <w:color w:val="000000"/>
          <w:sz w:val="24"/>
          <w:szCs w:val="24"/>
        </w:rPr>
        <w:t>seinen Lebensweg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="00312115" w:rsidRPr="00312115">
        <w:rPr>
          <w:rFonts w:ascii="Arial" w:hAnsi="Arial" w:cs="Arial"/>
          <w:color w:val="000000"/>
          <w:sz w:val="24"/>
          <w:szCs w:val="24"/>
        </w:rPr>
        <w:t>sowie die pädagogischen und die gesellschaftlichen</w:t>
      </w:r>
      <w:r w:rsidR="00312115">
        <w:rPr>
          <w:rFonts w:ascii="Arial" w:hAnsi="Arial" w:cs="Arial"/>
          <w:color w:val="000000"/>
          <w:sz w:val="24"/>
          <w:szCs w:val="24"/>
        </w:rPr>
        <w:t xml:space="preserve"> </w:t>
      </w:r>
      <w:r w:rsidR="00312115" w:rsidRPr="00312115">
        <w:rPr>
          <w:rFonts w:ascii="Arial" w:hAnsi="Arial" w:cs="Arial"/>
          <w:color w:val="000000"/>
          <w:sz w:val="24"/>
          <w:szCs w:val="24"/>
        </w:rPr>
        <w:t>Entwicklungen bis heute auf.</w:t>
      </w:r>
    </w:p>
    <w:p w:rsidR="00312115" w:rsidRPr="00312115" w:rsidRDefault="00312115" w:rsidP="003121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12115">
        <w:rPr>
          <w:rFonts w:ascii="Arial" w:hAnsi="Arial" w:cs="Arial"/>
          <w:b/>
          <w:bCs/>
          <w:color w:val="006C92"/>
          <w:sz w:val="24"/>
          <w:szCs w:val="24"/>
        </w:rPr>
        <w:t xml:space="preserve">Wolfgang Oster </w:t>
      </w:r>
      <w:r w:rsidRPr="00312115">
        <w:rPr>
          <w:rFonts w:ascii="Arial" w:hAnsi="Arial" w:cs="Arial"/>
          <w:color w:val="000000"/>
          <w:sz w:val="24"/>
          <w:szCs w:val="24"/>
        </w:rPr>
        <w:t>informiert in seinem Beitrag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über die Forderung, dass die privaten Berufsfachschulen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des Gesundheitswesens erhalten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und gestärkt werden sollen. Die Forderung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 xml:space="preserve">Einiger nach einer grundständigen </w:t>
      </w:r>
      <w:proofErr w:type="spellStart"/>
      <w:r w:rsidRPr="00312115">
        <w:rPr>
          <w:rFonts w:ascii="Arial" w:hAnsi="Arial" w:cs="Arial"/>
          <w:color w:val="000000"/>
          <w:sz w:val="24"/>
          <w:szCs w:val="24"/>
        </w:rPr>
        <w:t>Vollakademisierung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der Therapieberufe wird in dieser Form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abgelehnt. Durch diese geplante Änderung wird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Menschen mit Seheinschränkungen oder Blindheit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die Teilhabe an Ausbildung und dem beruflichen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Einstieg verwehrt. Er wirbt für den Weiterbestand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der berufsfachschulischen Ausbildung.</w:t>
      </w:r>
    </w:p>
    <w:p w:rsidR="00312115" w:rsidRDefault="00312115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12115">
        <w:rPr>
          <w:rFonts w:ascii="Arial" w:hAnsi="Arial" w:cs="Arial"/>
          <w:b/>
          <w:bCs/>
          <w:color w:val="006C92"/>
          <w:sz w:val="24"/>
          <w:szCs w:val="24"/>
        </w:rPr>
        <w:t xml:space="preserve">Franziska </w:t>
      </w:r>
      <w:proofErr w:type="spellStart"/>
      <w:r w:rsidRPr="00312115">
        <w:rPr>
          <w:rFonts w:ascii="Arial" w:hAnsi="Arial" w:cs="Arial"/>
          <w:b/>
          <w:bCs/>
          <w:color w:val="006C92"/>
          <w:sz w:val="24"/>
          <w:szCs w:val="24"/>
        </w:rPr>
        <w:t>Tellkamp</w:t>
      </w:r>
      <w:proofErr w:type="spellEnd"/>
      <w:r w:rsidRPr="00312115">
        <w:rPr>
          <w:rFonts w:ascii="Arial" w:hAnsi="Arial" w:cs="Arial"/>
          <w:b/>
          <w:bCs/>
          <w:color w:val="006C92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stellt in ihrem Artikel 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neu aufgelegte Buch „Kinder mit Behinderungen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115">
        <w:rPr>
          <w:rFonts w:ascii="Arial" w:hAnsi="Arial" w:cs="Arial"/>
          <w:color w:val="000000"/>
          <w:sz w:val="24"/>
          <w:szCs w:val="24"/>
        </w:rPr>
        <w:t>in inklusiven Kindertagesstätten“ vor.</w:t>
      </w:r>
    </w:p>
    <w:p w:rsidR="00312115" w:rsidRPr="00312115" w:rsidRDefault="00312115" w:rsidP="0031211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312115" w:rsidRPr="00312115" w:rsidRDefault="00312115" w:rsidP="0031211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12115">
        <w:rPr>
          <w:rFonts w:ascii="Arial" w:hAnsi="Arial" w:cs="Arial"/>
          <w:bCs/>
          <w:sz w:val="24"/>
          <w:szCs w:val="24"/>
        </w:rPr>
        <w:t>Franz-Josef Beck</w:t>
      </w:r>
    </w:p>
    <w:p w:rsidR="00312115" w:rsidRPr="00312115" w:rsidRDefault="00312115" w:rsidP="0031211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312115">
        <w:rPr>
          <w:rFonts w:ascii="Arial" w:hAnsi="Arial" w:cs="Arial"/>
          <w:bCs/>
          <w:sz w:val="24"/>
          <w:szCs w:val="24"/>
        </w:rPr>
        <w:t>E-Mail: franz-josef.beck@vbs.eu</w:t>
      </w:r>
    </w:p>
    <w:sectPr w:rsidR="00312115" w:rsidRPr="00312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6D"/>
    <w:rsid w:val="000703B3"/>
    <w:rsid w:val="00312115"/>
    <w:rsid w:val="006B0CD3"/>
    <w:rsid w:val="008F0D6D"/>
    <w:rsid w:val="00AC5770"/>
    <w:rsid w:val="00D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D41"/>
  <w15:chartTrackingRefBased/>
  <w15:docId w15:val="{982720E3-8A80-4954-9B90-1526C54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FJ_Beck</dc:creator>
  <cp:keywords/>
  <dc:description/>
  <cp:lastModifiedBy>FJ_Beck</cp:lastModifiedBy>
  <cp:revision>2</cp:revision>
  <dcterms:created xsi:type="dcterms:W3CDTF">2021-11-04T13:29:00Z</dcterms:created>
  <dcterms:modified xsi:type="dcterms:W3CDTF">2021-11-04T13:51:00Z</dcterms:modified>
</cp:coreProperties>
</file>